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24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INSTRUKCJA SPORZĄDZANIA INFORMACJI DODATKOWEJ DO SPRAWOZDANIA FINANSOWEGO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INFORMACJA DODATKOWA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240" w:line="240" w:lineRule="auto"/>
        <w:ind w:left="0" w:right="0" w:firstLine="0"/>
        <w:jc w:val="left"/>
      </w:pPr>
      <w:bookmarkStart w:id="0" w:name="bookmark0"/>
      <w:bookmarkEnd w:id="0"/>
      <w:r>
        <w:rPr>
          <w:b/>
          <w:bCs/>
          <w:color w:val="000000"/>
          <w:spacing w:val="0"/>
          <w:w w:val="100"/>
          <w:position w:val="0"/>
        </w:rPr>
        <w:t>WPROWADZENIE DO SPRAWOZDANIA FINANSOWEGO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450" w:val="left"/>
        </w:tabs>
        <w:bidi w:val="0"/>
        <w:spacing w:before="0" w:after="240" w:line="240" w:lineRule="auto"/>
        <w:ind w:left="0" w:right="0" w:firstLine="0"/>
        <w:jc w:val="left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 xml:space="preserve">Nazwa jednostki </w:t>
      </w:r>
      <w:r>
        <w:rPr>
          <w:b/>
          <w:bCs/>
          <w:i/>
          <w:iCs/>
          <w:color w:val="000000"/>
          <w:spacing w:val="0"/>
          <w:w w:val="100"/>
          <w:position w:val="0"/>
          <w:sz w:val="22"/>
          <w:szCs w:val="22"/>
        </w:rPr>
        <w:t>Gmina Ustrzyki Dolne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474" w:val="left"/>
        </w:tabs>
        <w:bidi w:val="0"/>
        <w:spacing w:before="0" w:after="240" w:line="240" w:lineRule="auto"/>
        <w:ind w:left="0" w:right="0" w:firstLine="0"/>
        <w:jc w:val="left"/>
      </w:pPr>
      <w:bookmarkStart w:id="2" w:name="bookmark2"/>
      <w:bookmarkEnd w:id="2"/>
      <w:r>
        <w:rPr>
          <w:color w:val="000000"/>
          <w:spacing w:val="0"/>
          <w:w w:val="100"/>
          <w:position w:val="0"/>
        </w:rPr>
        <w:t xml:space="preserve">Siedziba jednostki </w:t>
      </w:r>
      <w:r>
        <w:rPr>
          <w:b/>
          <w:bCs/>
          <w:i/>
          <w:iCs/>
          <w:color w:val="000000"/>
          <w:spacing w:val="0"/>
          <w:w w:val="100"/>
          <w:position w:val="0"/>
          <w:sz w:val="22"/>
          <w:szCs w:val="22"/>
        </w:rPr>
        <w:t>Ustrzyki Dolne, ul. Kopernika 1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478" w:val="left"/>
        </w:tabs>
        <w:bidi w:val="0"/>
        <w:spacing w:before="0" w:after="240" w:line="240" w:lineRule="auto"/>
        <w:ind w:left="0" w:right="0" w:firstLine="0"/>
        <w:jc w:val="left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 xml:space="preserve">Adres jednostki </w:t>
      </w:r>
      <w:r>
        <w:rPr>
          <w:b/>
          <w:bCs/>
          <w:i/>
          <w:iCs/>
          <w:color w:val="000000"/>
          <w:spacing w:val="0"/>
          <w:w w:val="100"/>
          <w:position w:val="0"/>
          <w:sz w:val="22"/>
          <w:szCs w:val="22"/>
        </w:rPr>
        <w:t>Ustrzyki Dolne, ul. Kopernika 1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478" w:val="left"/>
        </w:tabs>
        <w:bidi w:val="0"/>
        <w:spacing w:before="0" w:after="240" w:line="240" w:lineRule="auto"/>
        <w:ind w:left="0" w:right="0" w:firstLine="0"/>
        <w:jc w:val="left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Podstawowy przedmiot działalności ( należy podać krótki opis, np. działalność edukacyjna)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" w:name="bookmark5"/>
      <w:bookmarkStart w:id="6" w:name="bookmark6"/>
      <w:bookmarkStart w:id="7" w:name="bookmark7"/>
      <w:r>
        <w:rPr>
          <w:color w:val="000000"/>
          <w:spacing w:val="0"/>
          <w:w w:val="100"/>
          <w:position w:val="0"/>
        </w:rPr>
        <w:t>Kierowanie podstawowymi rodzajami działalności publicznej</w:t>
      </w:r>
      <w:bookmarkEnd w:id="5"/>
      <w:bookmarkEnd w:id="6"/>
      <w:bookmarkEnd w:id="7"/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240" w:line="240" w:lineRule="auto"/>
        <w:ind w:left="0" w:right="0" w:firstLine="0"/>
        <w:jc w:val="left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 xml:space="preserve">Wskazanie okresu objętego sprawozdaniem (podajemy w układzie: dd-mm-rrrr - dd-mm-rrrr) </w:t>
      </w:r>
      <w:r>
        <w:rPr>
          <w:b/>
          <w:bCs/>
          <w:i/>
          <w:iCs/>
          <w:color w:val="000000"/>
          <w:spacing w:val="0"/>
          <w:w w:val="100"/>
          <w:position w:val="0"/>
          <w:sz w:val="22"/>
          <w:szCs w:val="22"/>
        </w:rPr>
        <w:t>01-01-2022 r. do 31-12-2022 r.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240" w:line="240" w:lineRule="auto"/>
        <w:ind w:left="0" w:right="0" w:firstLine="0"/>
        <w:jc w:val="left"/>
      </w:pPr>
      <w:bookmarkStart w:id="9" w:name="bookmark9"/>
      <w:bookmarkEnd w:id="9"/>
      <w:r>
        <w:rPr>
          <w:color w:val="000000"/>
          <w:spacing w:val="0"/>
          <w:w w:val="100"/>
          <w:position w:val="0"/>
        </w:rPr>
        <w:t>Wskazanie, że sprawozdanie zawiera dane łączne * - 20 jednostek budżetowych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197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* Zapis : </w:t>
      </w:r>
      <w:r>
        <w:rPr>
          <w:i/>
          <w:iCs/>
          <w:color w:val="000000"/>
          <w:spacing w:val="0"/>
          <w:w w:val="100"/>
          <w:position w:val="0"/>
          <w:sz w:val="17"/>
          <w:szCs w:val="17"/>
        </w:rPr>
        <w:t>"Sprawozdanie finansowe obejmuje łączne dane dotyczące jednostki i wchodzących w jej skład (podać liczbę) jednostek budżetowych”</w:t>
      </w:r>
      <w:r>
        <w:rPr>
          <w:i/>
          <w:iCs/>
          <w:color w:val="000000"/>
          <w:spacing w:val="0"/>
          <w:w w:val="100"/>
          <w:position w:val="0"/>
        </w:rPr>
        <w:t>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przypadku obowiązku sporządzenia łącznego sprawozdania finansowego, należy przestrzegać zasad określonych w art. 51 ustawy o rachunkowości. Pozycję tę pomija się, jeśli jednostka budżetowa nie sporządza łącznego sprawozdania.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0" w:line="240" w:lineRule="auto"/>
        <w:ind w:left="0" w:right="0" w:firstLine="0"/>
        <w:jc w:val="left"/>
      </w:pPr>
      <w:bookmarkStart w:id="10" w:name="bookmark10"/>
      <w:bookmarkEnd w:id="10"/>
      <w:r>
        <w:rPr>
          <w:color w:val="000000"/>
          <w:spacing w:val="0"/>
          <w:w w:val="100"/>
          <w:position w:val="0"/>
        </w:rPr>
        <w:t>Omówienie przyjętych zasad (polityki rachunkowości), w tym metod wyceny aktywów i pasywów. W punkcie tym nie wpisujemy wszystkich zapisów polityki rachunkowości obowiązujących w jednostce budżetowej i które są obligatoryjne i zgodne z zapisami ustawy o rachunkowości lecz takie zapisy, które jednostka może zastosować bo ustawa o rachunkowości daje jej możliwość wyboru.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11" w:name="bookmark11"/>
      <w:bookmarkEnd w:id="11"/>
      <w:r>
        <w:rPr>
          <w:color w:val="000000"/>
          <w:spacing w:val="0"/>
          <w:w w:val="100"/>
          <w:position w:val="0"/>
        </w:rPr>
        <w:t>dokonywania odpisów amortyzacyjnych lub umorzeniowych środków trwałych i wartości niematerialnych i prawnych,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12" w:name="bookmark12"/>
      <w:bookmarkEnd w:id="12"/>
      <w:r>
        <w:rPr>
          <w:color w:val="000000"/>
          <w:spacing w:val="0"/>
          <w:w w:val="100"/>
          <w:position w:val="0"/>
        </w:rPr>
        <w:t>wyceny nieruchomości oraz wartości niematerialnych i prawnych zaliczanych do inwestycji, a także aktywów finansowych,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13" w:name="bookmark13"/>
      <w:bookmarkEnd w:id="13"/>
      <w:r>
        <w:rPr>
          <w:color w:val="000000"/>
          <w:spacing w:val="0"/>
          <w:w w:val="100"/>
          <w:position w:val="0"/>
        </w:rPr>
        <w:t>prowadzenia ewidencji szczegółowej rzeczowych składników aktywów obrotowych oraz ich wyceny na dzień bilansowy,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14" w:name="bookmark14"/>
      <w:bookmarkEnd w:id="14"/>
      <w:r>
        <w:rPr>
          <w:color w:val="000000"/>
          <w:spacing w:val="0"/>
          <w:w w:val="100"/>
          <w:position w:val="0"/>
        </w:rPr>
        <w:t>dokonywania odpisów aktualizujących wartość aktywów,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15" w:name="bookmark15"/>
      <w:bookmarkEnd w:id="15"/>
      <w:r>
        <w:rPr>
          <w:color w:val="000000"/>
          <w:spacing w:val="0"/>
          <w:w w:val="100"/>
          <w:position w:val="0"/>
        </w:rPr>
        <w:t>metod wyceny zapasów i środków pieniężnych,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h) kwalifikacji umów leasingu,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j) ustalania wyniku finansowego (kalkulacyjny lub porównawczy).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240" w:line="240" w:lineRule="auto"/>
        <w:ind w:left="0" w:right="0" w:firstLine="0"/>
        <w:jc w:val="left"/>
      </w:pPr>
      <w:bookmarkStart w:id="16" w:name="bookmark16"/>
      <w:bookmarkEnd w:id="16"/>
      <w:r>
        <w:rPr>
          <w:color w:val="000000"/>
          <w:spacing w:val="0"/>
          <w:w w:val="100"/>
          <w:position w:val="0"/>
        </w:rPr>
        <w:t>Inne informacje (podaje się inne informacje mające istotny wpływ na sporządzone sprawozdanie finansowe)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bookmarkStart w:id="17" w:name="bookmark17"/>
      <w:bookmarkStart w:id="18" w:name="bookmark18"/>
      <w:bookmarkStart w:id="19" w:name="bookmark19"/>
      <w:r>
        <w:rPr>
          <w:color w:val="000000"/>
          <w:spacing w:val="0"/>
          <w:w w:val="100"/>
          <w:position w:val="0"/>
        </w:rPr>
        <w:t>II . DODATKOWE INFORMACJE I OBJAŚNIENIA</w:t>
      </w:r>
      <w:bookmarkEnd w:id="17"/>
      <w:bookmarkEnd w:id="18"/>
      <w:bookmarkEnd w:id="1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Do „Wprowadzenia do sprawozdania finansowego” każda jednostka wypełnia wszystkie załączone tabele. Jeśli któraś z pozycji w załączonych tabelach nie występuje w jednostce, należy dołączyć wypełnioną tabelę ze stanami zerowymi. Tabele zostały opracowane na podstawie obowiązującego załącznika Nr 12 rozporządzenia do sprawozdania finansowego dla jednostki budżetowej lub zakładu budżetowego.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1.1.Szczegółowy zakres zmian wartości grup rodzajowych środków trwałych, wartości niematerialnych i prawnych oraz zmian dotychczasowej amortyzacji lub umorzenia.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1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 na dzień 31 grudnia 2022 roku.</w:t>
      </w:r>
    </w:p>
    <w:tbl>
      <w:tblPr>
        <w:tblOverlap w:val="never"/>
        <w:jc w:val="center"/>
        <w:tblLayout w:type="fixed"/>
      </w:tblPr>
      <w:tblGrid>
        <w:gridCol w:w="2674"/>
        <w:gridCol w:w="1339"/>
        <w:gridCol w:w="1147"/>
        <w:gridCol w:w="1104"/>
        <w:gridCol w:w="1104"/>
        <w:gridCol w:w="1099"/>
        <w:gridCol w:w="1099"/>
        <w:gridCol w:w="1104"/>
        <w:gridCol w:w="1104"/>
        <w:gridCol w:w="1099"/>
        <w:gridCol w:w="1118"/>
      </w:tblGrid>
      <w:tr>
        <w:trPr>
          <w:trHeight w:val="103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4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Nazwa grupy rodzajowej składnika aktywów według układu w bilansie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4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Wartość początkowa (brutto)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4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- stan na początek roku obrotowego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Zwiększenie wartości początkowej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6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Ogółem zwiększenie wartości początkowej (3 + 4 + 5)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Zm niejszenie wartości początkowej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Ogółem zm niejsze nie wartości początkowej (7 + 8 + 9)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Wartość początkowa - stan koniec roku obrotowego (2 + 6 - 10)</w:t>
            </w:r>
          </w:p>
        </w:tc>
      </w:tr>
      <w:tr>
        <w:trPr>
          <w:trHeight w:val="418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nabycie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aktualizacja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przemieszczenia we w.</w:t>
            </w:r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zbycie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likwidacja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inne</w:t>
            </w:r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/>
          </w:p>
        </w:tc>
      </w:tr>
      <w:tr>
        <w:trPr>
          <w:trHeight w:val="197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11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1. Wartości niematerialne i prawne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610 172,76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31 502,10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31 502,10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110 602,65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110 602,65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531 072,21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2. Razem środki trwałe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220 481 078,30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15 414 782,70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104 533,55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15 519 316,25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205 519,88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649 1 46,34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3 535 282,05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4 389 948,27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231 610 446,28</w:t>
            </w:r>
          </w:p>
        </w:tc>
      </w:tr>
      <w:tr>
        <w:trPr>
          <w:trHeight w:val="28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2.1.Grunty (gr.0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27 004 609,35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421 923,65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421 923,65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74 700,74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74 700,74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27 351 832,26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2.1.1. Grunty stanowiące własność JST, przekazane w użytkow anie w ieczyste innym podmiotom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525 521,51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525 521,51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2.2.Budynki, lokale i obiekty inżynierii lądowej i wodnej (gr. 1-2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167 863 671,33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12 042 205,74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104 533,55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12 146 739,29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130 819,14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514,53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2 416 863,48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2 548 197,15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177 462 213,47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2.3.Urządzenia techniczne i maszyny (gr.3-6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9 597 072,50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202 905,80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202 905,80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77 001,73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58 917,00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135 918,73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9 664 059,57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2.4.Środki transportu (gr.7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3 269 400,65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654 935,12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654 935,12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483 102,01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483 102,01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3 441 233,76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2.5.Inne środki trw ałe (gr.8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12 746 324,47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2 092 812,39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2 092 812,39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571 630,08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576 399,56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1 148 029,64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1"/>
                <w:szCs w:val="11"/>
              </w:rPr>
              <w:t>13 691 107,22</w:t>
            </w:r>
          </w:p>
        </w:tc>
      </w:tr>
      <w:tr>
        <w:trPr>
          <w:trHeight w:val="3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Razem wyszczególnione składniki aktywów (1+2 ):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221 091 251,06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15 446 284,80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104 533,55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15 550 818,35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205 519,88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759 748,99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3 535 282,05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4 500 550,92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1"/>
                <w:szCs w:val="11"/>
              </w:rPr>
              <w:t>232 141 518,49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0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2 Zmiana stanu umorzenia/amortyzacji środków trwałych oraz wartości niematerialnych i prawnych</w:t>
      </w:r>
    </w:p>
    <w:tbl>
      <w:tblPr>
        <w:tblOverlap w:val="never"/>
        <w:jc w:val="center"/>
        <w:tblLayout w:type="fixed"/>
      </w:tblPr>
      <w:tblGrid>
        <w:gridCol w:w="3504"/>
        <w:gridCol w:w="1757"/>
        <w:gridCol w:w="1502"/>
        <w:gridCol w:w="1445"/>
        <w:gridCol w:w="1445"/>
        <w:gridCol w:w="1445"/>
        <w:gridCol w:w="1445"/>
        <w:gridCol w:w="1459"/>
      </w:tblGrid>
      <w:tr>
        <w:trPr>
          <w:trHeight w:val="128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Nazwa grupy rodzajowej składnika aktywów według układu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w bilansie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331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Umorzenie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1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- stan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331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na początek roku obrotowego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Zwiększenia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564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Ogółem zwiększenie umorzenia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564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( 3+4+5)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569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Zmniejszenie umorzenia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Umorzenie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36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- stan na koniec roku obrotowego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36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(2 + 6 - 7)</w:t>
            </w:r>
          </w:p>
        </w:tc>
      </w:tr>
      <w:tr>
        <w:trPr>
          <w:trHeight w:val="643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aktualizacja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569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am ortyzacja za rok obrotowy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231F20"/>
                <w:spacing w:val="0"/>
                <w:w w:val="100"/>
                <w:position w:val="0"/>
                <w:sz w:val="12"/>
                <w:szCs w:val="12"/>
              </w:rPr>
              <w:t>inne</w:t>
            </w:r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/>
          </w:p>
        </w:tc>
      </w:tr>
      <w:tr>
        <w:trPr>
          <w:trHeight w:val="259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680" w:firstLine="0"/>
              <w:jc w:val="righ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8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1.Wartości niematerialne i prawne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610 172,76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31 502,10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31 502,10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110 602,65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80" w:firstLine="0"/>
              <w:jc w:val="righ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531 072,21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2. Razem środki trwałe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78 287 928,09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6 764 556,26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1 658 422,03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8 422 978,29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998 262,77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85 712 643,61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2.1.Grunty (gr.0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60" w:firstLine="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-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2.1.1. Grunty stanowiące własność JST, przekazane w użytkow anie w ieczyste innym podmiotom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60" w:firstLine="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-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2.2.Budynki, lokale i obiekty inżynierii lądowej i wodnej (gr. 1-2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58 348 240,20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5 825 846,01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5 825 846,01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68 627,21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64 105 459,00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2.3.Urządzenia techniczne i maszyny (gr.3-6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4 924 011,05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597 005,02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661,48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597 666,50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77 001,73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5 444 675,82</w:t>
            </w:r>
          </w:p>
        </w:tc>
      </w:tr>
      <w:tr>
        <w:trPr>
          <w:trHeight w:val="4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2.4.Środki transportu (gr.7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2 831 702,04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145 493,82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both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75 270,50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220 764,32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193 269,70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2 859 196,66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2.5.Inne środki trwałe (gr.8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12 183 974,80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196 211,41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1 582 490,05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1 778 701,46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659 364,13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4"/>
                <w:szCs w:val="14"/>
              </w:rPr>
              <w:t>13 303 312,13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Razem wyszczególnione składniki aktywów (1+2 ):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78 898 100,85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6 764 556,26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1 689 924,13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8 454 480,39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1 108 865,42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2"/>
                <w:szCs w:val="12"/>
              </w:rPr>
            </w:pPr>
            <w:r>
              <w:rPr>
                <w:rFonts w:ascii="Courier New" w:eastAsia="Courier New" w:hAnsi="Courier New" w:cs="Courier New"/>
                <w:color w:val="000000"/>
                <w:spacing w:val="0"/>
                <w:w w:val="100"/>
                <w:position w:val="0"/>
                <w:sz w:val="12"/>
                <w:szCs w:val="12"/>
              </w:rPr>
              <w:t>86 243 715,82</w:t>
            </w:r>
          </w:p>
        </w:tc>
      </w:tr>
    </w:tbl>
    <w:p>
      <w:pPr>
        <w:widowControl w:val="0"/>
        <w:spacing w:after="239" w:line="1" w:lineRule="exact"/>
      </w:pP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22" w:val="left"/>
        </w:tabs>
        <w:bidi w:val="0"/>
        <w:spacing w:before="0" w:after="240" w:line="240" w:lineRule="auto"/>
        <w:ind w:left="0" w:right="0" w:firstLine="400"/>
        <w:jc w:val="left"/>
      </w:pPr>
      <w:bookmarkStart w:id="20" w:name="bookmark20"/>
      <w:bookmarkEnd w:id="20"/>
      <w:r>
        <w:rPr>
          <w:color w:val="000000"/>
          <w:spacing w:val="0"/>
          <w:w w:val="100"/>
          <w:position w:val="0"/>
        </w:rPr>
        <w:t>Aktualna wartość rynkowa środków trwałych, w tym dóbr kultury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0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3 Aktualna wartość rynkowa środków trwałych, w tym dóbr kultury ( o ile jednostka dysponuje takimi informacjami)</w:t>
      </w:r>
    </w:p>
    <w:tbl>
      <w:tblPr>
        <w:tblOverlap w:val="never"/>
        <w:jc w:val="center"/>
        <w:tblLayout w:type="fixed"/>
      </w:tblPr>
      <w:tblGrid>
        <w:gridCol w:w="4958"/>
        <w:gridCol w:w="4666"/>
        <w:gridCol w:w="4670"/>
      </w:tblGrid>
      <w:tr>
        <w:trPr>
          <w:trHeight w:val="432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00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Grupa środków trwałych (wg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Wartość rynkowa (brutto)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- stan na koniec roku obrotowego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Uwagi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1.Grunty (gr.0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Brak danych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2. Budynki, lokale i obiekty inżynierii lądowej i wodnej (gr. 1-2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Brak danych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3. Urządzenia techniczne i maszyny (gr.3-6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Brak danych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4. Środki transportu (gr.7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Brak danych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5. Inne środki trwałe (gr.8 KŚT)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Brak danych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51" w:val="left"/>
        </w:tabs>
        <w:bidi w:val="0"/>
        <w:spacing w:before="0" w:after="0" w:line="240" w:lineRule="auto"/>
        <w:ind w:left="420" w:right="0" w:firstLine="0"/>
        <w:jc w:val="left"/>
      </w:pPr>
      <w:bookmarkStart w:id="21" w:name="bookmark21"/>
      <w:bookmarkEnd w:id="21"/>
      <w:r>
        <w:rPr>
          <w:color w:val="000000"/>
          <w:spacing w:val="0"/>
          <w:w w:val="100"/>
          <w:position w:val="0"/>
        </w:rPr>
        <w:t>Kwotę dokonanych w trakcie roku obrotowego odpisów aktualizujących wartość aktywów trwałych odrębnie dla długoterminowych aktywów niefinansowych oraz długoterminowych aktywów finansowych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62" w:lineRule="auto"/>
        <w:ind w:left="42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4</w:t>
      </w:r>
    </w:p>
    <w:tbl>
      <w:tblPr>
        <w:tblOverlap w:val="never"/>
        <w:jc w:val="center"/>
        <w:tblLayout w:type="fixed"/>
      </w:tblPr>
      <w:tblGrid>
        <w:gridCol w:w="4997"/>
        <w:gridCol w:w="2126"/>
        <w:gridCol w:w="2635"/>
        <w:gridCol w:w="2381"/>
        <w:gridCol w:w="2390"/>
      </w:tblGrid>
      <w:tr>
        <w:trPr>
          <w:trHeight w:val="22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Wyszczególnienie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początek roku obrotowego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Zmiany stanu odpisów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koniec roku obrotowego</w:t>
            </w:r>
          </w:p>
        </w:tc>
      </w:tr>
      <w:tr>
        <w:trPr>
          <w:trHeight w:val="216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bottom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zwiększenia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zmniejszenia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/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Wartości niematerialne i prawne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Środki trwałe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Środki trwałe w budowie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Zaliczki na środki trwałe w budowie (inwestycje)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Długoterminowe aktywa finansowe,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- akcje i udziały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239" w:line="1" w:lineRule="exact"/>
      </w:pP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42" w:val="left"/>
        </w:tabs>
        <w:bidi w:val="0"/>
        <w:spacing w:before="0" w:after="0" w:line="240" w:lineRule="auto"/>
        <w:ind w:left="420" w:right="0" w:firstLine="0"/>
        <w:jc w:val="left"/>
      </w:pPr>
      <w:bookmarkStart w:id="22" w:name="bookmark22"/>
      <w:bookmarkEnd w:id="22"/>
      <w:r>
        <w:rPr>
          <w:color w:val="000000"/>
          <w:spacing w:val="0"/>
          <w:w w:val="100"/>
          <w:position w:val="0"/>
        </w:rPr>
        <w:t>Wartość gruntów użytkowanych wieczyście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42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5</w:t>
      </w:r>
    </w:p>
    <w:tbl>
      <w:tblPr>
        <w:tblOverlap w:val="never"/>
        <w:jc w:val="left"/>
        <w:tblLayout w:type="fixed"/>
      </w:tblPr>
      <w:tblGrid>
        <w:gridCol w:w="4680"/>
        <w:gridCol w:w="4829"/>
      </w:tblGrid>
      <w:tr>
        <w:trPr>
          <w:trHeight w:val="48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Stan na koniec roku obrotowego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Powierzchnia (w m</w:t>
            </w:r>
            <w:r>
              <w:rPr>
                <w:b/>
                <w:bCs/>
                <w:color w:val="231F20"/>
                <w:spacing w:val="0"/>
                <w:w w:val="100"/>
                <w:position w:val="0"/>
                <w:vertAlign w:val="superscript"/>
              </w:rPr>
              <w:t>2</w:t>
            </w: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8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300 320,00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Wartość (w zł)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8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525 521,51</w:t>
            </w:r>
          </w:p>
        </w:tc>
      </w:tr>
    </w:tbl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51" w:val="left"/>
        </w:tabs>
        <w:bidi w:val="0"/>
        <w:spacing w:before="0" w:after="0" w:line="240" w:lineRule="auto"/>
        <w:ind w:left="420" w:right="0" w:firstLine="0"/>
        <w:jc w:val="left"/>
      </w:pPr>
      <w:bookmarkStart w:id="23" w:name="bookmark23"/>
      <w:bookmarkEnd w:id="23"/>
      <w:r>
        <w:rPr>
          <w:color w:val="000000"/>
          <w:spacing w:val="0"/>
          <w:w w:val="100"/>
          <w:position w:val="0"/>
        </w:rPr>
        <w:t>Wartość nieamortyzowanych lub nieumarzanych przez jednostkę środków trwałych, używanych na podstawie umów najmu, dzierżawy i innych umów, w tym z tytułu umów leasingu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62" w:lineRule="auto"/>
        <w:ind w:left="0" w:right="0" w:firstLine="42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6</w:t>
      </w:r>
    </w:p>
    <w:tbl>
      <w:tblPr>
        <w:tblOverlap w:val="never"/>
        <w:jc w:val="center"/>
        <w:tblLayout w:type="fixed"/>
      </w:tblPr>
      <w:tblGrid>
        <w:gridCol w:w="4680"/>
        <w:gridCol w:w="2381"/>
        <w:gridCol w:w="2381"/>
        <w:gridCol w:w="2381"/>
        <w:gridCol w:w="2390"/>
      </w:tblGrid>
      <w:tr>
        <w:trPr>
          <w:trHeight w:val="22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Wyszczególnienie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początek roku obrotowego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Zmiany stanu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koniec roku obrotowego</w:t>
            </w:r>
          </w:p>
        </w:tc>
      </w:tr>
      <w:tr>
        <w:trPr>
          <w:trHeight w:val="221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bottom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zwiększenia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zmniejszenia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/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Grunty,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-z tytułu umów dzierżawy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Budynki, lokale oraz obiekty inżynierii lądowej i wodnej,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-z tytułu umów dzierżawy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Urządzenia techniczne i maszyny,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-z tytułu umów leasingu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Środki transportu, w tym z tytułu: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-z tytułu umów leasingu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Inne środki trwałe,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-z tytułu umów leasingu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30" w:lineRule="auto"/>
        <w:ind w:left="91"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1.6. Liczbę oraz wartość posiadanych papierów wartościowych, w tym akcji i udziałów oraz dłużnych papierów wartościowych </w:t>
      </w: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7</w:t>
      </w:r>
    </w:p>
    <w:tbl>
      <w:tblPr>
        <w:tblOverlap w:val="never"/>
        <w:jc w:val="left"/>
        <w:tblLayout w:type="fixed"/>
      </w:tblPr>
      <w:tblGrid>
        <w:gridCol w:w="4680"/>
        <w:gridCol w:w="2410"/>
        <w:gridCol w:w="2419"/>
      </w:tblGrid>
      <w:tr>
        <w:trPr>
          <w:trHeight w:val="22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Wyszczególnienie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koniec roku obrotowego</w:t>
            </w:r>
          </w:p>
        </w:tc>
      </w:tr>
      <w:tr>
        <w:trPr>
          <w:trHeight w:val="221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Łączna liczba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Wartość bilansowa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Akcje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Udziały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2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20.258.400,00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Dłużne papiery wartościowe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Inne papiery wartościowe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2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2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20.258.400,00</w:t>
            </w:r>
          </w:p>
        </w:tc>
      </w:tr>
    </w:tbl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1.7. 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zagrożonych).</w:t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8</w:t>
      </w:r>
    </w:p>
    <w:tbl>
      <w:tblPr>
        <w:tblOverlap w:val="never"/>
        <w:jc w:val="center"/>
        <w:tblLayout w:type="fixed"/>
      </w:tblPr>
      <w:tblGrid>
        <w:gridCol w:w="4258"/>
        <w:gridCol w:w="2131"/>
        <w:gridCol w:w="1829"/>
        <w:gridCol w:w="1757"/>
        <w:gridCol w:w="1752"/>
        <w:gridCol w:w="1776"/>
      </w:tblGrid>
      <w:tr>
        <w:trPr>
          <w:trHeight w:val="90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Grupa należności (wg pozycji bilansowych)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5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Stan na początek roku obrotowego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Zmiany stanu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Stan na koniec roku obrotowego</w:t>
            </w:r>
          </w:p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(2 + 3 - 4 - 5)</w:t>
            </w:r>
          </w:p>
        </w:tc>
      </w:tr>
      <w:tr>
        <w:trPr>
          <w:trHeight w:val="326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Zwiększenia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Wykorzystanie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Rozw iązanie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/>
          </w:p>
        </w:tc>
      </w:tr>
      <w:tr>
        <w:trPr>
          <w:trHeight w:val="331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6</w:t>
            </w:r>
          </w:p>
        </w:tc>
      </w:tr>
      <w:tr>
        <w:trPr>
          <w:trHeight w:val="3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Należności długoterminow e (A.III.)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</w:tr>
      <w:tr>
        <w:trPr>
          <w:trHeight w:val="3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Należności krótkoterminowe (B.II.),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3 175 044,96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1 117 784,00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2 057 260,96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- należności z tytułu dostawy i usług (B.II.1)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184 637,25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86 223,74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98 413,51</w:t>
            </w:r>
          </w:p>
        </w:tc>
      </w:tr>
      <w:tr>
        <w:trPr>
          <w:trHeight w:val="3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- pozostałe należności (B.II.4)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2 990 407,71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1 031 560,26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0"/>
                <w:w w:val="100"/>
                <w:position w:val="0"/>
                <w:sz w:val="17"/>
                <w:szCs w:val="17"/>
              </w:rPr>
              <w:t>1 958 847,45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3 175 044,96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1 117 784,00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2 057 260,96</w:t>
            </w:r>
          </w:p>
        </w:tc>
      </w:tr>
    </w:tbl>
    <w:p>
      <w:pPr>
        <w:widowControl w:val="0"/>
        <w:spacing w:after="219" w:line="1" w:lineRule="exact"/>
      </w:pP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9</w:t>
      </w:r>
    </w:p>
    <w:tbl>
      <w:tblPr>
        <w:tblOverlap w:val="never"/>
        <w:jc w:val="center"/>
        <w:tblLayout w:type="fixed"/>
      </w:tblPr>
      <w:tblGrid>
        <w:gridCol w:w="4685"/>
        <w:gridCol w:w="1982"/>
        <w:gridCol w:w="2126"/>
        <w:gridCol w:w="1704"/>
        <w:gridCol w:w="1982"/>
        <w:gridCol w:w="1992"/>
      </w:tblGrid>
      <w:tr>
        <w:trPr>
          <w:trHeight w:val="24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Grupa należności (wg pozycji bilansu z wykonania budżetu JST)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Stan na początek roku obrotowego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Zmiany stanu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Stan na koniec roku obrotowego (2 + 3 - 4 - 5)</w:t>
            </w:r>
          </w:p>
        </w:tc>
      </w:tr>
      <w:tr>
        <w:trPr>
          <w:trHeight w:val="456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Zwiększenia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80" w:right="0" w:firstLine="0"/>
              <w:jc w:val="center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Wykorzystanie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Rozwiązanie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/>
          </w:p>
        </w:tc>
      </w:tr>
      <w:tr>
        <w:trPr>
          <w:trHeight w:val="192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</w:tr>
      <w:tr>
        <w:trPr>
          <w:trHeight w:val="4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Należności finansowe JST (stan pożyczek zagrożonych)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8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6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color w:val="000000"/>
          <w:spacing w:val="0"/>
          <w:w w:val="100"/>
          <w:position w:val="0"/>
        </w:rPr>
        <w:t>1.8. Dane o stanie rezerw według celu ich utworzenia na początek roku obrotowego, zwiększeniach, wykorzystaniu, rozwiązaniu i stanie końcowym</w:t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62" w:lineRule="auto"/>
        <w:ind w:left="91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10</w:t>
      </w:r>
    </w:p>
    <w:tbl>
      <w:tblPr>
        <w:tblOverlap w:val="never"/>
        <w:jc w:val="center"/>
        <w:tblLayout w:type="fixed"/>
      </w:tblPr>
      <w:tblGrid>
        <w:gridCol w:w="4680"/>
        <w:gridCol w:w="1982"/>
        <w:gridCol w:w="2131"/>
        <w:gridCol w:w="1699"/>
        <w:gridCol w:w="1982"/>
        <w:gridCol w:w="1992"/>
      </w:tblGrid>
      <w:tr>
        <w:trPr>
          <w:trHeight w:val="22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Tytuł utworzenia rezerwy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380" w:firstLine="0"/>
              <w:jc w:val="righ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początek roku obrotowego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Zmiany stanu w ciągu roku obrotowego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Stan na koniec roku obrotowego (2 + 3 - 4 - 5)</w:t>
            </w:r>
          </w:p>
        </w:tc>
      </w:tr>
      <w:tr>
        <w:trPr>
          <w:trHeight w:val="413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D0CEC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Zwiększenia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Wykorzystanie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Rozwiązanie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/>
          </w:p>
        </w:tc>
      </w:tr>
      <w:tr>
        <w:trPr>
          <w:trHeight w:val="192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0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Rezerwy na toczące się postepowanie sądowe w sprawie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tabs>
                <w:tab w:leader="dot" w:pos="1291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  <w:sz w:val="17"/>
                <w:szCs w:val="17"/>
              </w:rPr>
              <w:t>Rezerwy na</w:t>
              <w:tab/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  <w:tr>
        <w:trPr>
          <w:trHeight w:val="2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231F20"/>
                <w:spacing w:val="0"/>
                <w:w w:val="100"/>
                <w:position w:val="0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541" w:val="left"/>
        </w:tabs>
        <w:bidi w:val="0"/>
        <w:spacing w:before="0" w:after="0" w:line="240" w:lineRule="auto"/>
        <w:ind w:left="0" w:right="0" w:firstLine="0"/>
        <w:jc w:val="left"/>
      </w:pPr>
      <w:bookmarkStart w:id="24" w:name="bookmark24"/>
      <w:bookmarkEnd w:id="24"/>
      <w:r>
        <w:rPr>
          <w:color w:val="000000"/>
          <w:spacing w:val="0"/>
          <w:w w:val="100"/>
          <w:position w:val="0"/>
        </w:rPr>
        <w:t>Podział zobowiązań długoterminowych według pozycji bilansu o pozostałym od dnia bilansowego, przewidywanym umową lub wynikającym z innego tytułu prawnego, okresie spłaty: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25" w:name="bookmark25"/>
      <w:bookmarkEnd w:id="25"/>
      <w:r>
        <w:rPr>
          <w:color w:val="000000"/>
          <w:spacing w:val="0"/>
          <w:w w:val="100"/>
          <w:position w:val="0"/>
        </w:rPr>
        <w:t>powyżej 1 roku do 3 lat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26" w:name="bookmark26"/>
      <w:bookmarkEnd w:id="26"/>
      <w:r>
        <w:rPr>
          <w:color w:val="000000"/>
          <w:spacing w:val="0"/>
          <w:w w:val="100"/>
          <w:position w:val="0"/>
        </w:rPr>
        <w:t>powyżej 3 do 5 lat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bookmarkStart w:id="27" w:name="bookmark27"/>
      <w:bookmarkEnd w:id="27"/>
      <w:r>
        <w:rPr>
          <w:color w:val="000000"/>
          <w:spacing w:val="0"/>
          <w:w w:val="100"/>
          <w:position w:val="0"/>
        </w:rPr>
        <w:t>powyżej 5 lat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Tabela Nr 11</w:t>
      </w:r>
    </w:p>
    <w:tbl>
      <w:tblPr>
        <w:tblOverlap w:val="never"/>
        <w:jc w:val="left"/>
        <w:tblLayout w:type="fixed"/>
      </w:tblPr>
      <w:tblGrid>
        <w:gridCol w:w="4258"/>
        <w:gridCol w:w="2131"/>
        <w:gridCol w:w="1829"/>
        <w:gridCol w:w="1757"/>
        <w:gridCol w:w="1771"/>
      </w:tblGrid>
      <w:tr>
        <w:trPr>
          <w:trHeight w:val="50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Tytuł utworzenia rezerwy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Zobowiązania długoterminowe o pozostałym do dnia bilansowego okresie spłaty</w:t>
            </w:r>
          </w:p>
        </w:tc>
      </w:tr>
      <w:tr>
        <w:trPr>
          <w:trHeight w:val="466" w:hRule="exact"/>
        </w:trPr>
        <w:tc>
          <w:tcPr>
            <w:vMerge/>
            <w:tcBorders>
              <w:left w:val="single" w:sz="4"/>
            </w:tcBorders>
            <w:shd w:val="clear" w:color="auto" w:fill="D0CEC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powyżej 1 roku do 3 lat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powyżej 3 roku do 5 lat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powyżej 5 lat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Razem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Kredyty i pożyczki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3 859 678,00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5 637 236,00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14 381 880,00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23 878 794,00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Emisja obligacji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8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Inne zobowiązania finansowe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8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Pozostałe zobowiązania długoterminowe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8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</w:tr>
      <w:tr>
        <w:trPr>
          <w:trHeight w:val="3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3 859 678,00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5 637 236,00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14 381 880,00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0"/>
                <w:w w:val="100"/>
                <w:position w:val="0"/>
                <w:sz w:val="18"/>
                <w:szCs w:val="18"/>
              </w:rPr>
              <w:t>23 878 794,00</w:t>
            </w:r>
          </w:p>
        </w:tc>
      </w:tr>
    </w:tbl>
    <w:p>
      <w:pPr>
        <w:widowControl w:val="0"/>
        <w:spacing w:after="239" w:line="1" w:lineRule="exact"/>
      </w:pP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670" w:val="left"/>
        </w:tabs>
        <w:bidi w:val="0"/>
        <w:spacing w:before="0" w:after="0" w:line="240" w:lineRule="auto"/>
        <w:ind w:left="0" w:right="0" w:firstLine="0"/>
        <w:jc w:val="left"/>
      </w:pPr>
      <w:bookmarkStart w:id="28" w:name="bookmark28"/>
      <w:bookmarkEnd w:id="28"/>
      <w:r>
        <w:rPr>
          <w:color w:val="000000"/>
          <w:spacing w:val="0"/>
          <w:w w:val="100"/>
          <w:position w:val="0"/>
        </w:rPr>
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9" w:name="bookmark29"/>
      <w:bookmarkStart w:id="30" w:name="bookmark30"/>
      <w:bookmarkStart w:id="31" w:name="bookmark31"/>
      <w:r>
        <w:rPr>
          <w:color w:val="000000"/>
          <w:spacing w:val="0"/>
          <w:w w:val="100"/>
          <w:position w:val="0"/>
        </w:rPr>
        <w:t>Tabela Nr 12</w:t>
      </w:r>
      <w:bookmarkEnd w:id="29"/>
      <w:bookmarkEnd w:id="30"/>
      <w:bookmarkEnd w:id="31"/>
    </w:p>
    <w:tbl>
      <w:tblPr>
        <w:tblOverlap w:val="never"/>
        <w:jc w:val="left"/>
        <w:tblLayout w:type="fixed"/>
      </w:tblPr>
      <w:tblGrid>
        <w:gridCol w:w="9893"/>
        <w:gridCol w:w="2280"/>
      </w:tblGrid>
      <w:tr>
        <w:trPr>
          <w:trHeight w:val="47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 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Kwota zobowiązania wg stanu na koniec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Umowy leasingu kwalifikowane przez jednostkę, zgodnie z przepisami podatkowymi (leasing operacyjny), a według przepisów o rachunkowości byłby to leasing finansowy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Umowy leasingu kwalifikowane przez jednostkę, zgodnie z przepisami podatkowymi (leasing operacyjny), a według przepisów o rachunkowości byłby to leasing zwrotny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1.11. Łączną kwotę zobowiązań zabezpieczonych na majątku jednostki ze wskazaniem charakteru i formy tych zabezpieczeń </w:t>
      </w:r>
      <w:r>
        <w:rPr>
          <w:b/>
          <w:bCs/>
          <w:color w:val="000000"/>
          <w:spacing w:val="0"/>
          <w:w w:val="100"/>
          <w:position w:val="0"/>
        </w:rPr>
        <w:t>Tabela Nr 13</w:t>
      </w:r>
    </w:p>
    <w:tbl>
      <w:tblPr>
        <w:tblOverlap w:val="never"/>
        <w:jc w:val="center"/>
        <w:tblLayout w:type="fixed"/>
      </w:tblPr>
      <w:tblGrid>
        <w:gridCol w:w="6494"/>
        <w:gridCol w:w="2693"/>
        <w:gridCol w:w="2410"/>
        <w:gridCol w:w="2419"/>
      </w:tblGrid>
      <w:tr>
        <w:trPr>
          <w:trHeight w:val="432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Rodzaj zabezpieczenia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Kwota zobowiązania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Kwota zabezpieczenia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w tym: na aktywach trwałych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Hipoteka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685.575,50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685.575,50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685.575,50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Zastaw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Weksle, w tym: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in blanco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685.575,50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685.575,50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685.575,50</w:t>
            </w:r>
          </w:p>
        </w:tc>
      </w:tr>
    </w:tbl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1.12. Łączną kwotę zobowiązań warunkowych, w tym również udzielonych przez jednostkę gwarancji i poręczeń, także wekslowych, niewykazanych w bilansie, ze wskazaniem zobowiązań zabezpieczonych na majątku jednostki oraz charakteru i formy tych zabezpieczeń </w:t>
      </w:r>
      <w:r>
        <w:rPr>
          <w:b/>
          <w:bCs/>
          <w:color w:val="000000"/>
          <w:spacing w:val="0"/>
          <w:w w:val="100"/>
          <w:position w:val="0"/>
        </w:rPr>
        <w:t>Tabela Nr 14</w:t>
      </w:r>
    </w:p>
    <w:tbl>
      <w:tblPr>
        <w:tblOverlap w:val="never"/>
        <w:jc w:val="left"/>
        <w:tblLayout w:type="fixed"/>
      </w:tblPr>
      <w:tblGrid>
        <w:gridCol w:w="3091"/>
        <w:gridCol w:w="2693"/>
        <w:gridCol w:w="2837"/>
        <w:gridCol w:w="3979"/>
      </w:tblGrid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Rodzaj zobowiązania warunkowego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Kwota zobowiązania warunkowego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Forma i charakter zobowiązania warunkowego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Kwota zabezpieczenia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color w:val="231F20"/>
                <w:spacing w:val="0"/>
                <w:w w:val="100"/>
                <w:position w:val="0"/>
                <w:sz w:val="16"/>
                <w:szCs w:val="16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color w:val="231F20"/>
                <w:spacing w:val="0"/>
                <w:w w:val="100"/>
                <w:position w:val="0"/>
                <w:sz w:val="16"/>
                <w:szCs w:val="16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color w:val="231F20"/>
                <w:spacing w:val="0"/>
                <w:w w:val="100"/>
                <w:position w:val="0"/>
                <w:sz w:val="16"/>
                <w:szCs w:val="16"/>
              </w:rPr>
              <w:t>Nie dotyczy</w:t>
            </w:r>
          </w:p>
        </w:tc>
      </w:tr>
    </w:tbl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13. Wykaz istotnych pozycji czynnych i biernych rozliczeń międzyokresowych, w tym kwotę czynnych rozliczeń międzyokresowych kosztów stanowiących różnicę między wartością otrzymanych finansowych składników aktywów a zobowiązaniem zapłaty za nie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2" w:name="bookmark32"/>
      <w:bookmarkStart w:id="33" w:name="bookmark33"/>
      <w:bookmarkStart w:id="34" w:name="bookmark34"/>
      <w:r>
        <w:rPr>
          <w:color w:val="000000"/>
          <w:spacing w:val="0"/>
          <w:w w:val="100"/>
          <w:position w:val="0"/>
        </w:rPr>
        <w:t>Tabela Nr 15</w:t>
      </w:r>
      <w:bookmarkEnd w:id="32"/>
      <w:bookmarkEnd w:id="33"/>
      <w:bookmarkEnd w:id="34"/>
    </w:p>
    <w:tbl>
      <w:tblPr>
        <w:tblOverlap w:val="never"/>
        <w:jc w:val="left"/>
        <w:tblLayout w:type="fixed"/>
      </w:tblPr>
      <w:tblGrid>
        <w:gridCol w:w="5784"/>
        <w:gridCol w:w="2837"/>
        <w:gridCol w:w="3979"/>
      </w:tblGrid>
      <w:tr>
        <w:trPr>
          <w:trHeight w:val="24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 (z tytułu rozliczeń międzyokresowych)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Stan na początek roku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Stan na koniec roku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Ubezpieczenia majątkowe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Razem czynne rozliczenia międzyokresowe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Razem bierne rozliczenia międzyokresowe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231F20"/>
                <w:spacing w:val="0"/>
                <w:w w:val="100"/>
                <w:position w:val="0"/>
                <w:sz w:val="17"/>
                <w:szCs w:val="17"/>
              </w:rPr>
              <w:t>Nie dotyczy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1.14. Wykaz otrzymanych przez jednostkę gwarancji i poręczeń niewykazanych w bilansie </w:t>
      </w:r>
      <w:r>
        <w:rPr>
          <w:b/>
          <w:bCs/>
          <w:color w:val="000000"/>
          <w:spacing w:val="0"/>
          <w:w w:val="100"/>
          <w:position w:val="0"/>
        </w:rPr>
        <w:t>Tabela Nr 16</w:t>
      </w:r>
    </w:p>
    <w:tbl>
      <w:tblPr>
        <w:tblOverlap w:val="never"/>
        <w:jc w:val="left"/>
        <w:tblLayout w:type="fixed"/>
      </w:tblPr>
      <w:tblGrid>
        <w:gridCol w:w="4258"/>
        <w:gridCol w:w="2131"/>
        <w:gridCol w:w="1848"/>
      </w:tblGrid>
      <w:tr>
        <w:trPr>
          <w:trHeight w:val="1502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Wyszczególnienie (rodzaju otrzymanych gwarancji i poręczeń)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Kwota otrzymanych gwarancji i poręczeń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Kw ota warunkowych należności zabezpieczonych otrzymanymi gwarancjami i poręczeniami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Zabezpieczenie należytego wykonania umowy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443 094,16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443 094,16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Kaucje uczestników projektu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0,00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443 094,16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443 094,16</w:t>
            </w:r>
          </w:p>
        </w:tc>
      </w:tr>
    </w:tbl>
    <w:p>
      <w:pPr>
        <w:widowControl w:val="0"/>
        <w:spacing w:after="23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1.15 Wykaz wypłaconych środków pieniężnych na świadczenia pracownicze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5" w:name="bookmark35"/>
      <w:bookmarkStart w:id="36" w:name="bookmark36"/>
      <w:bookmarkStart w:id="37" w:name="bookmark37"/>
      <w:r>
        <w:rPr>
          <w:color w:val="000000"/>
          <w:spacing w:val="0"/>
          <w:w w:val="100"/>
          <w:position w:val="0"/>
        </w:rPr>
        <w:t>Tabela Nr 17</w:t>
      </w:r>
      <w:bookmarkEnd w:id="35"/>
      <w:bookmarkEnd w:id="36"/>
      <w:bookmarkEnd w:id="37"/>
    </w:p>
    <w:tbl>
      <w:tblPr>
        <w:tblOverlap w:val="never"/>
        <w:jc w:val="left"/>
        <w:tblLayout w:type="fixed"/>
      </w:tblPr>
      <w:tblGrid>
        <w:gridCol w:w="4258"/>
        <w:gridCol w:w="2150"/>
      </w:tblGrid>
      <w:tr>
        <w:trPr>
          <w:trHeight w:val="466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Wyszczególnienie (wypłacone środki pieniężne na świadczenia pracownicza)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Kwota</w:t>
            </w: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Nag rody jubileuszowe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419 419,92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Ekwiwalent za urlop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54 243,87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Odprawy emerytalne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8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469 351,38</w:t>
            </w:r>
          </w:p>
        </w:tc>
      </w:tr>
      <w:tr>
        <w:trPr>
          <w:trHeight w:val="3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Razem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D0CECF"/>
            <w:vAlign w:val="center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943 015,17</w:t>
            </w:r>
          </w:p>
        </w:tc>
      </w:tr>
    </w:tbl>
    <w:p>
      <w:pPr>
        <w:widowControl w:val="0"/>
        <w:spacing w:after="23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1.16. Inne informacje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8" w:name="bookmark38"/>
      <w:bookmarkStart w:id="39" w:name="bookmark39"/>
      <w:bookmarkStart w:id="40" w:name="bookmark40"/>
      <w:r>
        <w:rPr>
          <w:color w:val="000000"/>
          <w:spacing w:val="0"/>
          <w:w w:val="100"/>
          <w:position w:val="0"/>
        </w:rPr>
        <w:t>Tabela Nr 18</w:t>
      </w:r>
      <w:bookmarkEnd w:id="38"/>
      <w:bookmarkEnd w:id="39"/>
      <w:bookmarkEnd w:id="40"/>
    </w:p>
    <w:tbl>
      <w:tblPr>
        <w:tblOverlap w:val="never"/>
        <w:jc w:val="left"/>
        <w:tblLayout w:type="fixed"/>
      </w:tblPr>
      <w:tblGrid>
        <w:gridCol w:w="7910"/>
        <w:gridCol w:w="3552"/>
      </w:tblGrid>
      <w:tr>
        <w:trPr>
          <w:trHeight w:val="47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Kwota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Środki zgromadzone na rachunku VAT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231F20"/>
                <w:spacing w:val="0"/>
                <w:w w:val="100"/>
                <w:position w:val="0"/>
              </w:rPr>
              <w:t>394,93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Inne należności: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2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...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2.1. Wysokość odpisów aktualizujących wartość zapasów</w:t>
      </w:r>
    </w:p>
    <w:p>
      <w:pPr>
        <w:pStyle w:val="Style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1" w:name="bookmark41"/>
      <w:bookmarkStart w:id="42" w:name="bookmark42"/>
      <w:bookmarkStart w:id="43" w:name="bookmark43"/>
      <w:r>
        <w:rPr>
          <w:color w:val="000000"/>
          <w:spacing w:val="0"/>
          <w:w w:val="100"/>
          <w:position w:val="0"/>
        </w:rPr>
        <w:t>Tabela Nr 19</w:t>
      </w:r>
      <w:bookmarkEnd w:id="41"/>
      <w:bookmarkEnd w:id="42"/>
      <w:bookmarkEnd w:id="43"/>
    </w:p>
    <w:tbl>
      <w:tblPr>
        <w:tblOverlap w:val="never"/>
        <w:jc w:val="left"/>
        <w:tblLayout w:type="fixed"/>
      </w:tblPr>
      <w:tblGrid>
        <w:gridCol w:w="7910"/>
        <w:gridCol w:w="3552"/>
      </w:tblGrid>
      <w:tr>
        <w:trPr>
          <w:trHeight w:val="47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Kwota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Odpisy aktualizujące wartość zapasów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2.2. Koszt wytworzenia środków trwałych w budowie, w tym odsetki oraz różnice kursowe, które powiększyły koszt wytworzenia środków trwałych w budowie w roku obrotowym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Tabela Nr 20</w:t>
      </w:r>
    </w:p>
    <w:tbl>
      <w:tblPr>
        <w:tblOverlap w:val="never"/>
        <w:jc w:val="left"/>
        <w:tblLayout w:type="fixed"/>
      </w:tblPr>
      <w:tblGrid>
        <w:gridCol w:w="7910"/>
        <w:gridCol w:w="3552"/>
      </w:tblGrid>
      <w:tr>
        <w:trPr>
          <w:trHeight w:val="24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Kwota w roku obrotowym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Ogółem koszty wytworzenia środków trwałych w budowie, w tym: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-odsetki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różnice kursowe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widowControl w:val="0"/>
        <w:spacing w:after="999" w:line="1" w:lineRule="exact"/>
      </w:pP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2.3. Kwota i charakter poszczególnych pozycji przychodów lub kosztów o nadzwyczajnej wartości lub które wystąpiły incydentalnie </w:t>
      </w:r>
      <w:r>
        <w:rPr>
          <w:b/>
          <w:bCs/>
          <w:color w:val="000000"/>
          <w:spacing w:val="0"/>
          <w:w w:val="100"/>
          <w:position w:val="0"/>
        </w:rPr>
        <w:t>Tabela Nr 21</w:t>
      </w:r>
    </w:p>
    <w:tbl>
      <w:tblPr>
        <w:tblOverlap w:val="never"/>
        <w:jc w:val="center"/>
        <w:tblLayout w:type="fixed"/>
      </w:tblPr>
      <w:tblGrid>
        <w:gridCol w:w="7910"/>
        <w:gridCol w:w="3552"/>
      </w:tblGrid>
      <w:tr>
        <w:trPr>
          <w:trHeight w:val="24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Kwota w roku obrotowym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Przychody występujące incydentalnie, w tym: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1) losowe - pożar - odszkodowania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2) pozostałe darowizna (spadek)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Koszty występujące incydentalnie, w tym: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1) losowe - pożar - wartość strat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  <w:tr>
        <w:trPr>
          <w:trHeight w:val="4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2) losowe - zalania - wartość strat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0" w:right="0" w:firstLine="0"/>
              <w:jc w:val="left"/>
            </w:pPr>
            <w:r>
              <w:rPr>
                <w:color w:val="231F20"/>
                <w:spacing w:val="0"/>
                <w:w w:val="100"/>
                <w:position w:val="0"/>
              </w:rPr>
              <w:t>Nie dotyczy</w:t>
            </w:r>
          </w:p>
        </w:tc>
      </w:tr>
    </w:tbl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color w:val="000000"/>
          <w:spacing w:val="0"/>
          <w:w w:val="100"/>
          <w:position w:val="0"/>
        </w:rPr>
        <w:t>2.4. Informację o kwocie należności z tytułu podatków realizowanych przez organy podatkowe podległe ministrowi właściwemu do spraw finansów publicznych wykazywanych w sprawozdaniu z wykonania planu dochodów budżetowych - nie dotyczy jst</w:t>
      </w:r>
    </w:p>
    <w:p>
      <w:pPr>
        <w:widowControl w:val="0"/>
        <w:spacing w:after="199" w:line="1" w:lineRule="exact"/>
      </w:pP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color w:val="000000"/>
          <w:spacing w:val="0"/>
          <w:w w:val="100"/>
          <w:position w:val="0"/>
        </w:rPr>
        <w:t>2.5. Inne informacje</w:t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Tabela Nr 22</w:t>
      </w:r>
    </w:p>
    <w:tbl>
      <w:tblPr>
        <w:tblOverlap w:val="never"/>
        <w:jc w:val="left"/>
        <w:tblLayout w:type="fixed"/>
      </w:tblPr>
      <w:tblGrid>
        <w:gridCol w:w="7910"/>
        <w:gridCol w:w="3552"/>
      </w:tblGrid>
      <w:tr>
        <w:trPr>
          <w:trHeight w:val="480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Stan na koniec roku</w:t>
            </w:r>
          </w:p>
        </w:tc>
      </w:tr>
      <w:tr>
        <w:trPr>
          <w:trHeight w:val="2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Istotne pozycje przychodów: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2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...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2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Istotne pozycje kosztów: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 ...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3. Inne informacje niż wymienione powyżej, jeżeli mogłyby w istotny sposób wpłynąć na ocenę sytuacji majątkowej i finansowej oraz wynik finansowy jednostki</w:t>
      </w:r>
    </w:p>
    <w:p>
      <w:pPr>
        <w:pStyle w:val="Style2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Tabela Nr 23</w:t>
      </w:r>
    </w:p>
    <w:tbl>
      <w:tblPr>
        <w:tblOverlap w:val="never"/>
        <w:jc w:val="left"/>
        <w:tblLayout w:type="fixed"/>
      </w:tblPr>
      <w:tblGrid>
        <w:gridCol w:w="7910"/>
        <w:gridCol w:w="3552"/>
      </w:tblGrid>
      <w:tr>
        <w:trPr>
          <w:trHeight w:val="475" w:hRule="exact"/>
        </w:trPr>
        <w:tc>
          <w:tcPr>
            <w:tcBorders>
              <w:top w:val="single" w:sz="4"/>
              <w:lef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Wyszczególnienie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D0CEC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Stan na koniec roku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Informacje o skutkach błędów z poprzednich lat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4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Informacje o skutkach zmiany polityki rachunkowości: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Informacje o zdarzeniach mających miejsce po dniu bilansowym: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  <w:tr>
        <w:trPr>
          <w:trHeight w:val="4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nie dotyczy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840" w:right="1188" w:bottom="1064" w:left="1122" w:header="412" w:footer="636" w:gutter="0"/>
          <w:pgNumType w:start="1"/>
          <w:cols w:space="720"/>
          <w:noEndnote/>
          <w:rtlGutter w:val="0"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9" w:after="10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6840" w:h="11900" w:orient="landscape"/>
          <w:pgMar w:top="848" w:right="0" w:bottom="3695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2"/>
        <w:keepNext w:val="0"/>
        <w:keepLines w:val="0"/>
        <w:framePr w:w="2587" w:h="278" w:wrap="none" w:vAnchor="text" w:hAnchor="page" w:x="1421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Ewa Kaczmaryk Elmerych</w:t>
      </w:r>
    </w:p>
    <w:p>
      <w:pPr>
        <w:pStyle w:val="Style2"/>
        <w:keepNext w:val="0"/>
        <w:keepLines w:val="0"/>
        <w:framePr w:w="1171" w:h="274" w:wrap="none" w:vAnchor="text" w:hAnchor="page" w:x="6365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2023-04-28</w:t>
      </w:r>
    </w:p>
    <w:p>
      <w:pPr>
        <w:pStyle w:val="Style2"/>
        <w:keepNext w:val="0"/>
        <w:keepLines w:val="0"/>
        <w:framePr w:w="1858" w:h="274" w:wrap="none" w:vAnchor="text" w:hAnchor="page" w:x="9917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Bartosz Romowicz</w:t>
      </w:r>
    </w:p>
    <w:p>
      <w:pPr>
        <w:pStyle w:val="Style2"/>
        <w:keepNext w:val="0"/>
        <w:keepLines w:val="0"/>
        <w:framePr w:w="1829" w:h="278" w:wrap="none" w:vAnchor="text" w:hAnchor="page" w:x="1416" w:y="5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(główny księgowy)</w:t>
      </w:r>
    </w:p>
    <w:p>
      <w:pPr>
        <w:pStyle w:val="Style2"/>
        <w:keepNext w:val="0"/>
        <w:keepLines w:val="0"/>
        <w:framePr w:w="2002" w:h="278" w:wrap="none" w:vAnchor="text" w:hAnchor="page" w:x="6374" w:y="5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(rok, miesiąc, dzień)</w:t>
      </w:r>
    </w:p>
    <w:p>
      <w:pPr>
        <w:pStyle w:val="Style2"/>
        <w:keepNext w:val="0"/>
        <w:keepLines w:val="0"/>
        <w:framePr w:w="2093" w:h="278" w:wrap="none" w:vAnchor="text" w:hAnchor="page" w:x="9912" w:y="5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(kierownik jednostki)</w:t>
      </w:r>
    </w:p>
    <w:p>
      <w:pPr>
        <w:widowControl w:val="0"/>
        <w:spacing w:line="360" w:lineRule="exact"/>
      </w:pPr>
    </w:p>
    <w:p>
      <w:pPr>
        <w:widowControl w:val="0"/>
        <w:spacing w:after="421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6840" w:h="11900" w:orient="landscape"/>
          <w:pgMar w:top="848" w:right="1393" w:bottom="3695" w:left="1278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819150</wp:posOffset>
                </wp:positionH>
                <wp:positionV relativeFrom="paragraph">
                  <wp:posOffset>94615</wp:posOffset>
                </wp:positionV>
                <wp:extent cx="1496695" cy="52705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496695" cy="52705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31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 xml:space="preserve">Signature Not Verilied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Dokument podpisany prze;</w:t>
                            </w:r>
                          </w:p>
                          <w:p>
                            <w:pPr>
                              <w:pStyle w:val="Style4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Elmerych</w:t>
                            </w:r>
                          </w:p>
                          <w:p>
                            <w:pPr>
                              <w:pStyle w:val="Style4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Data: 2023.04.28 12:13:35 CEST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4.5pt;margin-top:7.4500000000000002pt;width:117.85000000000001pt;height:41.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1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 xml:space="preserve">Signature Not Verilied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Dokument podpisany prze;</w:t>
                      </w:r>
                    </w:p>
                    <w:p>
                      <w:pPr>
                        <w:pStyle w:val="Style4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Elmerych</w:t>
                      </w:r>
                    </w:p>
                    <w:p>
                      <w:pPr>
                        <w:pStyle w:val="Style4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Data: 2023.04.28 12:13:35 CEST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25829380" behindDoc="0" locked="0" layoutInCell="1" allowOverlap="1">
                <wp:simplePos x="0" y="0"/>
                <wp:positionH relativeFrom="page">
                  <wp:posOffset>2114550</wp:posOffset>
                </wp:positionH>
                <wp:positionV relativeFrom="paragraph">
                  <wp:posOffset>265430</wp:posOffset>
                </wp:positionV>
                <wp:extent cx="728345" cy="143510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728345" cy="1435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w Kaczmaryk-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66.5pt;margin-top:20.900000000000002pt;width:57.350000000000001pt;height:11.300000000000001pt;z-index:-12582937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w Kaczmaryk-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>
      <w:pPr>
        <w:pStyle w:val="Style4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Signature Not Yerified</w:t>
      </w:r>
    </w:p>
    <w:p>
      <w:pPr>
        <w:pStyle w:val="Style4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Dokument podpisany przez</w:t>
      </w:r>
    </w:p>
    <w:p>
      <w:pPr>
        <w:pStyle w:val="Style44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Bartosz RomowiCZ</w:t>
      </w:r>
    </w:p>
    <w:p>
      <w:pPr>
        <w:pStyle w:val="Style44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Data: 2023.04.2842:13:02 CEST</w:t>
      </w:r>
    </w:p>
    <w:sectPr>
      <w:footnotePr>
        <w:pos w:val="pageBottom"/>
        <w:numFmt w:val="decimal"/>
        <w:numRestart w:val="continuous"/>
      </w:footnotePr>
      <w:type w:val="continuous"/>
      <w:pgSz w:w="16840" w:h="11900" w:orient="landscape"/>
      <w:pgMar w:top="848" w:right="1393" w:bottom="848" w:left="4465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2"/>
      <w:numFmt w:val="decimal"/>
      <w:lvlText w:val="1.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</w:abstractNum>
  <w:abstractNum w:abstractNumId="6">
    <w:multiLevelType w:val="multilevel"/>
    <w:lvl w:ilvl="0">
      <w:start w:val="9"/>
      <w:numFmt w:val="decimal"/>
      <w:lvlText w:val="1.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</w:abstractNum>
  <w:abstractNum w:abstractNumId="8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7">
    <w:name w:val="Nagłówek #1_"/>
    <w:basedOn w:val="DefaultParagraphFont"/>
    <w:link w:val="Style6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Tekst treści (2)_"/>
    <w:basedOn w:val="DefaultParagraphFont"/>
    <w:link w:val="Style8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CharStyle15">
    <w:name w:val="Inne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29">
    <w:name w:val="Podpis tabeli_"/>
    <w:basedOn w:val="DefaultParagraphFont"/>
    <w:link w:val="Style2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42">
    <w:name w:val="Tekst treści (3)_"/>
    <w:basedOn w:val="DefaultParagraphFont"/>
    <w:link w:val="Styl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CharStyle45">
    <w:name w:val="Tekst treści (4)_"/>
    <w:basedOn w:val="DefaultParagraphFont"/>
    <w:link w:val="Style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6">
    <w:name w:val="Nagłówek #1"/>
    <w:basedOn w:val="Normal"/>
    <w:link w:val="CharStyle7"/>
    <w:pPr>
      <w:widowControl w:val="0"/>
      <w:shd w:val="clear" w:color="auto" w:fill="auto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Tekst treści (2)"/>
    <w:basedOn w:val="Normal"/>
    <w:link w:val="CharStyle9"/>
    <w:pPr>
      <w:widowControl w:val="0"/>
      <w:shd w:val="clear" w:color="auto" w:fill="auto"/>
      <w:spacing w:after="240" w:line="254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Style14">
    <w:name w:val="Inne"/>
    <w:basedOn w:val="Normal"/>
    <w:link w:val="CharStyle15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8">
    <w:name w:val="Podpis tabeli"/>
    <w:basedOn w:val="Normal"/>
    <w:link w:val="CharStyle29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41">
    <w:name w:val="Tekst treści (3)"/>
    <w:basedOn w:val="Normal"/>
    <w:link w:val="CharStyle42"/>
    <w:pPr>
      <w:widowControl w:val="0"/>
      <w:shd w:val="clear" w:color="auto" w:fill="auto"/>
      <w:spacing w:line="274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Style44">
    <w:name w:val="Tekst treści (4)"/>
    <w:basedOn w:val="Normal"/>
    <w:link w:val="CharStyle45"/>
    <w:pPr>
      <w:widowControl w:val="0"/>
      <w:shd w:val="clear" w:color="auto" w:fill="auto"/>
      <w:spacing w:line="230" w:lineRule="auto"/>
      <w:ind w:left="54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Microsoft Word - Inf.dod 2022 Zbiorcza.doc</dc:title>
  <dc:subject/>
  <dc:creator>ewa_k</dc:creator>
  <cp:keywords/>
</cp:coreProperties>
</file>